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2"/>
          <w:szCs w:val="22"/>
          <w:lang w:val="en-US" w:eastAsia="zh-CN"/>
        </w:rPr>
        <w:t>附件</w:t>
      </w:r>
      <w:r>
        <w:rPr>
          <w:rFonts w:hint="eastAsia" w:ascii="宋体" w:hAnsi="宋体" w:cs="宋体"/>
          <w:b/>
          <w:bCs/>
          <w:color w:val="auto"/>
          <w:kern w:val="0"/>
          <w:sz w:val="22"/>
          <w:szCs w:val="2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2"/>
          <w:szCs w:val="22"/>
          <w:lang w:val="en-US" w:eastAsia="zh-CN"/>
        </w:rPr>
        <w:t>：</w:t>
      </w:r>
    </w:p>
    <w:p>
      <w:pPr>
        <w:pStyle w:val="2"/>
        <w:spacing w:before="0" w:after="0" w:line="36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**学院（部）</w:t>
      </w:r>
      <w:r>
        <w:rPr>
          <w:rFonts w:hint="eastAsia" w:ascii="黑体" w:hAnsi="黑体" w:eastAsia="黑体"/>
          <w:sz w:val="36"/>
          <w:szCs w:val="36"/>
        </w:rPr>
        <w:t>普通全日制本科生</w:t>
      </w:r>
    </w:p>
    <w:p>
      <w:pPr>
        <w:pStyle w:val="2"/>
        <w:spacing w:before="0" w:after="0"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毕业论文（设计）相似性检测实施细则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  <w:t>组织机构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  <w:t>检测方式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  <w:t>时间安排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  <w:t>合格标准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  <w:t>不合格论文处理办法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  <w:t>异议处理程序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……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  <w:t>（包括且不限于以上六个方面）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5418"/>
    <w:multiLevelType w:val="singleLevel"/>
    <w:tmpl w:val="43CD54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9610E"/>
    <w:rsid w:val="29596437"/>
    <w:rsid w:val="317633B0"/>
    <w:rsid w:val="71C6066F"/>
    <w:rsid w:val="7A115FB7"/>
    <w:rsid w:val="7B29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2022-04-04T02:28:00Z</dcterms:created>
  <dc:creator>帥</dc:creator>
  <cp:lastModifiedBy>帥</cp:lastModifiedBy>
  <dcterms:modified xsi:type="dcterms:W3CDTF">2022-04-04T02:34:25Z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