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1</w:t>
      </w:r>
      <w:bookmarkStart w:id="1" w:name="_GoBack"/>
      <w:bookmarkEnd w:id="1"/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 w:ascii="黑体" w:hAnsi="黑体" w:eastAsia="黑体" w:cs="黑体"/>
          <w:b/>
          <w:sz w:val="52"/>
          <w:szCs w:val="52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113030</wp:posOffset>
            </wp:positionV>
            <wp:extent cx="3986530" cy="1196340"/>
            <wp:effectExtent l="0" t="0" r="0" b="0"/>
            <wp:wrapNone/>
            <wp:docPr id="2" name="图片 2" descr="全称+校徽 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全称+校徽 横版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</w:pPr>
      <w:bookmarkStart w:id="0" w:name="_Hlk500275725"/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拔尖创新人才培养基地班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</w:rPr>
        <w:t>年度报告</w:t>
      </w:r>
      <w:bookmarkEnd w:id="0"/>
    </w:p>
    <w:p>
      <w:pPr>
        <w:pStyle w:val="8"/>
        <w:spacing w:line="600" w:lineRule="exact"/>
        <w:ind w:left="210" w:leftChars="10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pStyle w:val="8"/>
        <w:spacing w:line="600" w:lineRule="exact"/>
        <w:ind w:firstLine="482" w:firstLineChars="150"/>
        <w:rPr>
          <w:rFonts w:ascii="仿宋_GB2312" w:hAnsi="Times New Roman" w:eastAsia="仿宋_GB2312"/>
          <w:b/>
          <w:color w:val="auto"/>
          <w:spacing w:val="10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学院（学部）</w:t>
      </w:r>
      <w:r>
        <w:rPr>
          <w:rFonts w:hint="eastAsia" w:ascii="仿宋_GB2312" w:hAnsi="Times New Roman" w:eastAsia="仿宋_GB2312"/>
          <w:b/>
          <w:color w:val="auto"/>
          <w:spacing w:val="8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color w:val="auto"/>
          <w:spacing w:val="80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/>
          <w:b/>
          <w:color w:val="auto"/>
          <w:spacing w:val="80"/>
          <w:sz w:val="32"/>
          <w:szCs w:val="32"/>
          <w:u w:val="single"/>
        </w:rPr>
        <w:t xml:space="preserve">    </w:t>
      </w:r>
    </w:p>
    <w:p>
      <w:pPr>
        <w:pStyle w:val="8"/>
        <w:spacing w:line="600" w:lineRule="exact"/>
        <w:ind w:left="4231" w:leftChars="248" w:hanging="3710" w:hangingChars="1100"/>
        <w:rPr>
          <w:rFonts w:ascii="仿宋_GB2312" w:hAnsi="Times New Roman" w:eastAsia="仿宋_GB2312"/>
          <w:b/>
          <w:color w:val="auto"/>
          <w:spacing w:val="8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pacing w:val="8"/>
          <w:sz w:val="32"/>
          <w:szCs w:val="32"/>
        </w:rPr>
        <w:t xml:space="preserve">联  系  人  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                          </w:t>
      </w:r>
    </w:p>
    <w:p>
      <w:pPr>
        <w:pStyle w:val="8"/>
        <w:spacing w:line="600" w:lineRule="exact"/>
        <w:ind w:firstLine="521" w:firstLineChars="100"/>
        <w:rPr>
          <w:rFonts w:ascii="仿宋_GB2312" w:hAnsi="Times New Roman" w:eastAsia="仿宋_GB2312"/>
          <w:color w:val="auto"/>
          <w:spacing w:val="8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pacing w:val="100"/>
          <w:sz w:val="32"/>
          <w:szCs w:val="32"/>
        </w:rPr>
        <w:t>填表日期</w:t>
      </w:r>
      <w:r>
        <w:rPr>
          <w:rFonts w:hint="eastAsia" w:ascii="楷体_GB2312" w:eastAsia="仿宋_GB2312"/>
          <w:b/>
          <w:bCs/>
          <w:color w:val="auto"/>
          <w:sz w:val="32"/>
          <w:u w:val="single"/>
        </w:rPr>
        <w:t xml:space="preserve">         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年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月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日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</w:t>
      </w:r>
      <w:r>
        <w:rPr>
          <w:rFonts w:ascii="楷体_GB2312" w:eastAsia="仿宋_GB2312"/>
          <w:b/>
          <w:bCs/>
          <w:color w:val="auto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color w:val="auto"/>
          <w:sz w:val="32"/>
          <w:u w:val="single"/>
        </w:rPr>
        <w:t xml:space="preserve">   </w:t>
      </w:r>
      <w:r>
        <w:rPr>
          <w:rFonts w:ascii="楷体_GB2312" w:eastAsia="仿宋_GB2312"/>
          <w:b/>
          <w:bCs/>
          <w:color w:val="auto"/>
          <w:sz w:val="32"/>
          <w:u w:val="single"/>
        </w:rPr>
        <w:t xml:space="preserve"> 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pacing w:val="40"/>
          <w:sz w:val="32"/>
          <w:szCs w:val="32"/>
        </w:rPr>
        <w:t xml:space="preserve">     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pacing w:val="40"/>
          <w:sz w:val="32"/>
          <w:szCs w:val="32"/>
        </w:rPr>
        <w:t xml:space="preserve">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</w:p>
    <w:p>
      <w:pPr>
        <w:pStyle w:val="8"/>
        <w:spacing w:line="600" w:lineRule="exact"/>
        <w:jc w:val="center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东北师范大学教务处制</w:t>
      </w:r>
    </w:p>
    <w:p>
      <w:pPr>
        <w:pStyle w:val="8"/>
        <w:spacing w:line="600" w:lineRule="exact"/>
        <w:jc w:val="center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二〇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〇年十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</w:p>
    <w:p>
      <w:pPr>
        <w:rPr>
          <w:rFonts w:ascii="黑体" w:hAnsi="黑体" w:eastAsia="黑体"/>
          <w:b/>
          <w:color w:val="auto"/>
          <w:sz w:val="28"/>
          <w:szCs w:val="28"/>
        </w:rPr>
        <w:sectPr>
          <w:pgSz w:w="11906" w:h="16838"/>
          <w:pgMar w:top="1440" w:right="1689" w:bottom="1440" w:left="1633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仿宋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一、本年度基地班建设基本情况</w:t>
      </w:r>
    </w:p>
    <w:tbl>
      <w:tblPr>
        <w:tblStyle w:val="10"/>
        <w:tblpPr w:leftFromText="180" w:rightFromText="180" w:vertAnchor="text" w:tblpX="1" w:tblpY="1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7" w:hRule="atLeast"/>
        </w:trPr>
        <w:tc>
          <w:tcPr>
            <w:tcW w:w="840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（一）工作</w:t>
            </w:r>
            <w:r>
              <w:rPr>
                <w:rFonts w:hint="eastAsia"/>
                <w:color w:val="auto"/>
                <w:sz w:val="24"/>
                <w:szCs w:val="24"/>
              </w:rPr>
              <w:t>举措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20" w:hRule="atLeast"/>
        </w:trPr>
        <w:tc>
          <w:tcPr>
            <w:tcW w:w="8400" w:type="dxa"/>
          </w:tcPr>
          <w:p>
            <w:pPr>
              <w:spacing w:line="400" w:lineRule="exact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阐述本年度采取的举措与取得的成效，如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“书院制”“小班化”“学分制”“个性化”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840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（二）工作特色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71" w:hRule="atLeast"/>
        </w:trPr>
        <w:tc>
          <w:tcPr>
            <w:tcW w:w="8400" w:type="dxa"/>
          </w:tcPr>
          <w:p>
            <w:pPr>
              <w:spacing w:line="400" w:lineRule="exac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（如试点实施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“本硕博一体化拔尖创新人才培养计划”“院所合作”“学科交叉”等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ascii="黑体" w:hAnsi="黑体" w:eastAsia="黑体"/>
          <w:b/>
          <w:color w:val="auto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存在的问题</w:t>
      </w:r>
    </w:p>
    <w:tbl>
      <w:tblPr>
        <w:tblStyle w:val="10"/>
        <w:tblpPr w:leftFromText="180" w:rightFromText="180" w:vertAnchor="text" w:tblpX="1" w:tblpY="1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23" w:hRule="atLeast"/>
        </w:trPr>
        <w:tc>
          <w:tcPr>
            <w:tcW w:w="842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（阐述当前存在的主要问题及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/>
                <w:color w:val="auto"/>
                <w:sz w:val="24"/>
                <w:szCs w:val="24"/>
              </w:rPr>
              <w:t>原因分析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200</w:t>
            </w:r>
            <w:r>
              <w:rPr>
                <w:rFonts w:hint="eastAsia"/>
                <w:color w:val="auto"/>
                <w:sz w:val="24"/>
                <w:szCs w:val="24"/>
              </w:rPr>
              <w:t>字左右）</w:t>
            </w:r>
          </w:p>
        </w:tc>
      </w:tr>
    </w:tbl>
    <w:p>
      <w:pP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三、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下一步工作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规划</w:t>
      </w:r>
    </w:p>
    <w:tbl>
      <w:tblPr>
        <w:tblStyle w:val="10"/>
        <w:tblpPr w:leftFromText="180" w:rightFromText="180" w:vertAnchor="text" w:tblpX="1" w:tblpY="1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</w:tcPr>
          <w:p>
            <w:pPr>
              <w:spacing w:line="40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（一）总体</w:t>
            </w:r>
            <w:r>
              <w:rPr>
                <w:rFonts w:hint="eastAsia" w:eastAsiaTheme="minorEastAsia"/>
                <w:b/>
                <w:color w:val="auto"/>
                <w:sz w:val="24"/>
                <w:szCs w:val="24"/>
                <w:lang w:eastAsia="zh-CN"/>
              </w:rPr>
              <w:t>理念与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4" w:hRule="atLeast"/>
        </w:trPr>
        <w:tc>
          <w:tcPr>
            <w:tcW w:w="8475" w:type="dxa"/>
          </w:tcPr>
          <w:p>
            <w:pPr>
              <w:spacing w:line="30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（从“本硕博一体化”“专业规划与学科建设一体化”“</w:t>
            </w:r>
            <w:r>
              <w:rPr>
                <w:rFonts w:hint="eastAsia" w:asciiTheme="minorHAnsi" w:eastAsiaTheme="minorEastAsia"/>
                <w:bCs/>
                <w:color w:val="auto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基础课程一体化”的角度出发，</w:t>
            </w:r>
            <w:r>
              <w:rPr>
                <w:rFonts w:hint="eastAsia" w:asciiTheme="minorHAnsi" w:eastAsiaTheme="minorEastAsia"/>
                <w:bCs/>
                <w:color w:val="auto"/>
                <w:sz w:val="24"/>
                <w:szCs w:val="24"/>
                <w:lang w:val="en-US" w:eastAsia="zh-CN"/>
              </w:rPr>
              <w:t>撰写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未来拔尖创新人才培养的总体思路。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9" w:hRule="atLeast"/>
        </w:trPr>
        <w:tc>
          <w:tcPr>
            <w:tcW w:w="8475" w:type="dxa"/>
          </w:tcPr>
          <w:p>
            <w:pPr>
              <w:spacing w:line="30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（二）拔尖创新人才培养模式内涵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7" w:hRule="atLeast"/>
        </w:trPr>
        <w:tc>
          <w:tcPr>
            <w:tcW w:w="8475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（简要陈述培养模式的基本内涵</w:t>
            </w: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特色、基本理念等内容。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字左右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</w:trPr>
        <w:tc>
          <w:tcPr>
            <w:tcW w:w="8475" w:type="dxa"/>
          </w:tcPr>
          <w:p>
            <w:pPr>
              <w:spacing w:line="40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（三）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拔尖创新人才培养的关键举措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16" w:hRule="atLeast"/>
        </w:trPr>
        <w:tc>
          <w:tcPr>
            <w:tcW w:w="8475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体现强化使命驱动，注重大师引领，创新学习方式，提升综合素养，促进学科交叉、科教融合，深化国际合作，科学选才鉴才，质量持续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改进等改革要求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21" w:hRule="atLeast"/>
        </w:trPr>
        <w:tc>
          <w:tcPr>
            <w:tcW w:w="8475" w:type="dxa"/>
          </w:tcPr>
          <w:p>
            <w:pPr>
              <w:spacing w:line="400" w:lineRule="exac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  <w:t>（四）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22" w:hRule="atLeast"/>
        </w:trPr>
        <w:tc>
          <w:tcPr>
            <w:tcW w:w="8475" w:type="dxa"/>
          </w:tcPr>
          <w:p>
            <w:pPr>
              <w:spacing w:line="400" w:lineRule="exact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含经费保障、组织保障、师资保障等</w:t>
            </w: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HAnsi" w:eastAsiaTheme="minorEastAsia"/>
                <w:color w:val="auto"/>
                <w:sz w:val="24"/>
                <w:szCs w:val="24"/>
                <w:lang w:val="en-US" w:eastAsia="zh-CN"/>
              </w:rPr>
              <w:t>200字左右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b/>
          <w:color w:val="auto"/>
          <w:sz w:val="28"/>
          <w:szCs w:val="28"/>
        </w:rPr>
        <w:sectPr>
          <w:pgSz w:w="11906" w:h="16838"/>
          <w:pgMar w:top="1440" w:right="1587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280" w:firstLineChars="10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、学院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(部)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意见</w:t>
      </w:r>
    </w:p>
    <w:tbl>
      <w:tblPr>
        <w:tblStyle w:val="9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</w:trPr>
        <w:tc>
          <w:tcPr>
            <w:tcW w:w="863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教学副院（部）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长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（签字）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ind w:firstLine="280" w:firstLineChars="10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、学校意见</w:t>
      </w:r>
    </w:p>
    <w:tbl>
      <w:tblPr>
        <w:tblStyle w:val="9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1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（公章）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（签字）   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年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color w:val="auto"/>
          <w:lang w:eastAsia="zh-CN"/>
        </w:rPr>
      </w:pPr>
    </w:p>
    <w:sectPr>
      <w:footerReference r:id="rId4" w:type="default"/>
      <w:pgSz w:w="11906" w:h="16838"/>
      <w:pgMar w:top="1531" w:right="1587" w:bottom="1418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8AA32"/>
    <w:multiLevelType w:val="singleLevel"/>
    <w:tmpl w:val="9718AA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73BDF"/>
    <w:rsid w:val="00086144"/>
    <w:rsid w:val="000D1686"/>
    <w:rsid w:val="001034E1"/>
    <w:rsid w:val="00113E0D"/>
    <w:rsid w:val="001179B8"/>
    <w:rsid w:val="00146F87"/>
    <w:rsid w:val="00154FFD"/>
    <w:rsid w:val="001A6115"/>
    <w:rsid w:val="001B408B"/>
    <w:rsid w:val="001C2DC2"/>
    <w:rsid w:val="00201DDB"/>
    <w:rsid w:val="0023610A"/>
    <w:rsid w:val="00285E0A"/>
    <w:rsid w:val="002E39EF"/>
    <w:rsid w:val="00312E95"/>
    <w:rsid w:val="003425A6"/>
    <w:rsid w:val="00354E9F"/>
    <w:rsid w:val="003561FA"/>
    <w:rsid w:val="00375839"/>
    <w:rsid w:val="003870A1"/>
    <w:rsid w:val="003A515E"/>
    <w:rsid w:val="003D75BE"/>
    <w:rsid w:val="004004B6"/>
    <w:rsid w:val="00457221"/>
    <w:rsid w:val="00467A6A"/>
    <w:rsid w:val="00470C8C"/>
    <w:rsid w:val="0049051E"/>
    <w:rsid w:val="004D1C4A"/>
    <w:rsid w:val="004D3845"/>
    <w:rsid w:val="004F3F62"/>
    <w:rsid w:val="00500E6A"/>
    <w:rsid w:val="00505810"/>
    <w:rsid w:val="00561DD3"/>
    <w:rsid w:val="005712C2"/>
    <w:rsid w:val="00576DF1"/>
    <w:rsid w:val="005B5B7D"/>
    <w:rsid w:val="005C7EEF"/>
    <w:rsid w:val="005E6E01"/>
    <w:rsid w:val="00605C86"/>
    <w:rsid w:val="00611297"/>
    <w:rsid w:val="00636C9D"/>
    <w:rsid w:val="00652FB6"/>
    <w:rsid w:val="00664250"/>
    <w:rsid w:val="0068044C"/>
    <w:rsid w:val="00687445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77E27"/>
    <w:rsid w:val="008825F9"/>
    <w:rsid w:val="008D0610"/>
    <w:rsid w:val="008F6E08"/>
    <w:rsid w:val="009368BC"/>
    <w:rsid w:val="009372BC"/>
    <w:rsid w:val="00937488"/>
    <w:rsid w:val="0099540E"/>
    <w:rsid w:val="00996661"/>
    <w:rsid w:val="009C481F"/>
    <w:rsid w:val="00A01630"/>
    <w:rsid w:val="00A032CE"/>
    <w:rsid w:val="00A16638"/>
    <w:rsid w:val="00A240D4"/>
    <w:rsid w:val="00A5118A"/>
    <w:rsid w:val="00A52712"/>
    <w:rsid w:val="00A96A2A"/>
    <w:rsid w:val="00AB1147"/>
    <w:rsid w:val="00AB6A7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D1A8F"/>
    <w:rsid w:val="00BD7FF4"/>
    <w:rsid w:val="00BF1F66"/>
    <w:rsid w:val="00C266CC"/>
    <w:rsid w:val="00C30767"/>
    <w:rsid w:val="00C30C55"/>
    <w:rsid w:val="00C429E1"/>
    <w:rsid w:val="00C45676"/>
    <w:rsid w:val="00C81217"/>
    <w:rsid w:val="00C93801"/>
    <w:rsid w:val="00C9789E"/>
    <w:rsid w:val="00CB4069"/>
    <w:rsid w:val="00CD3926"/>
    <w:rsid w:val="00D1071C"/>
    <w:rsid w:val="00D26F3D"/>
    <w:rsid w:val="00D55F90"/>
    <w:rsid w:val="00D65B0E"/>
    <w:rsid w:val="00D91857"/>
    <w:rsid w:val="00DD6D04"/>
    <w:rsid w:val="00E43ED2"/>
    <w:rsid w:val="00E66351"/>
    <w:rsid w:val="00E908F4"/>
    <w:rsid w:val="00EF1F48"/>
    <w:rsid w:val="00F046EF"/>
    <w:rsid w:val="00F20355"/>
    <w:rsid w:val="00F31D91"/>
    <w:rsid w:val="00F62081"/>
    <w:rsid w:val="00FE31F3"/>
    <w:rsid w:val="00FF2089"/>
    <w:rsid w:val="03AD1680"/>
    <w:rsid w:val="06C45DE0"/>
    <w:rsid w:val="0AFD507D"/>
    <w:rsid w:val="15006825"/>
    <w:rsid w:val="23E83B6A"/>
    <w:rsid w:val="292E75B2"/>
    <w:rsid w:val="2B1970EF"/>
    <w:rsid w:val="2E994BCB"/>
    <w:rsid w:val="38F339C7"/>
    <w:rsid w:val="42AE62C8"/>
    <w:rsid w:val="4948739D"/>
    <w:rsid w:val="4E505353"/>
    <w:rsid w:val="50E8295D"/>
    <w:rsid w:val="56B34501"/>
    <w:rsid w:val="64E17BD8"/>
    <w:rsid w:val="682B0F03"/>
    <w:rsid w:val="6FA97011"/>
    <w:rsid w:val="7BBD304B"/>
    <w:rsid w:val="7BE402A5"/>
    <w:rsid w:val="7C5B5401"/>
    <w:rsid w:val="7C5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2017-12-05T12:27:00Z</dcterms:created>
  <dc:creator>微软用户</dc:creator>
  <cp:lastModifiedBy>Administrator</cp:lastModifiedBy>
  <cp:lastPrinted>2018-11-27T03:12:00Z</cp:lastPrinted>
  <dcterms:modified xsi:type="dcterms:W3CDTF">2020-12-14T00:59:38Z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